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1" w:rsidRPr="00B90071" w:rsidRDefault="00AC5B30" w:rsidP="00B90071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</w:rPr>
        <w:t>ОТЧЕТ</w:t>
      </w:r>
    </w:p>
    <w:p w:rsidR="00B90071" w:rsidRPr="00B90071" w:rsidRDefault="00B90071" w:rsidP="00B90071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ОБ ИТОГАХ ГОЛОСОВАНИЯ</w:t>
      </w:r>
    </w:p>
    <w:p w:rsidR="00B90071" w:rsidRPr="00B90071" w:rsidRDefault="00B90071" w:rsidP="00B90071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НА ОБЩЕМ СОБРАНИИ АКЦИОНЕРОВ</w:t>
      </w:r>
    </w:p>
    <w:p w:rsidR="00B90071" w:rsidRPr="00B90071" w:rsidRDefault="00B90071" w:rsidP="00B90071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акционерного общества Угольная компания «Северный Кузбасс»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6"/>
        <w:gridCol w:w="4633"/>
      </w:tblGrid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652427, обл. </w:t>
            </w:r>
            <w:proofErr w:type="gramStart"/>
            <w:r w:rsidRPr="00B90071">
              <w:rPr>
                <w:rFonts w:ascii="Tahoma" w:eastAsia="Times New Roman" w:hAnsi="Tahoma" w:cs="Tahoma"/>
                <w:sz w:val="20"/>
              </w:rPr>
              <w:t>Кемеровская</w:t>
            </w:r>
            <w:proofErr w:type="gramEnd"/>
            <w:r w:rsidRPr="00B90071">
              <w:rPr>
                <w:rFonts w:ascii="Tahoma" w:eastAsia="Times New Roman" w:hAnsi="Tahoma" w:cs="Tahoma"/>
                <w:sz w:val="20"/>
              </w:rPr>
              <w:t xml:space="preserve"> - Кузбасс, г.. Березовский, ул. Матросова, д.1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Внеочередное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Заочное голосование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9 июня 2022 года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1 июля 2022 года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B90071">
              <w:rPr>
                <w:rFonts w:ascii="Tahoma" w:eastAsia="Times New Roman" w:hAnsi="Tahoma" w:cs="Tahoma"/>
                <w:sz w:val="20"/>
              </w:rPr>
              <w:t>Болотова</w:t>
            </w:r>
            <w:proofErr w:type="spellEnd"/>
            <w:r w:rsidRPr="00B90071">
              <w:rPr>
                <w:rFonts w:ascii="Tahoma" w:eastAsia="Times New Roman" w:hAnsi="Tahoma" w:cs="Tahoma"/>
                <w:sz w:val="20"/>
              </w:rPr>
              <w:t xml:space="preserve"> Татьяна Сергеевна по доверенности № 558</w:t>
            </w:r>
            <w:r w:rsidR="009E28B7">
              <w:rPr>
                <w:rFonts w:ascii="Tahoma" w:eastAsia="Times New Roman" w:hAnsi="Tahoma" w:cs="Tahoma"/>
                <w:sz w:val="20"/>
              </w:rPr>
              <w:t xml:space="preserve"> от 28.12.2021г</w:t>
            </w:r>
          </w:p>
        </w:tc>
      </w:tr>
      <w:tr w:rsidR="00B90071" w:rsidRPr="00B90071" w:rsidTr="0071234C">
        <w:tc>
          <w:tcPr>
            <w:tcW w:w="5771" w:type="dxa"/>
          </w:tcPr>
          <w:p w:rsidR="00B90071" w:rsidRPr="00B90071" w:rsidRDefault="00B90071" w:rsidP="00AC5B30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Дата составления </w:t>
            </w:r>
            <w:r w:rsidR="00AC5B30">
              <w:rPr>
                <w:rFonts w:ascii="Tahoma" w:eastAsia="Times New Roman" w:hAnsi="Tahoma" w:cs="Tahoma"/>
                <w:sz w:val="20"/>
              </w:rPr>
              <w:t>отчета</w:t>
            </w:r>
            <w:r w:rsidRPr="00B90071">
              <w:rPr>
                <w:rFonts w:ascii="Tahoma" w:eastAsia="Times New Roman" w:hAnsi="Tahoma" w:cs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4535" w:type="dxa"/>
          </w:tcPr>
          <w:p w:rsidR="00B90071" w:rsidRPr="00B90071" w:rsidRDefault="00B90071" w:rsidP="00B90071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1 июля 2022 года</w:t>
            </w:r>
          </w:p>
        </w:tc>
      </w:tr>
    </w:tbl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 xml:space="preserve">В </w:t>
      </w:r>
      <w:r w:rsidR="00AC5B30">
        <w:rPr>
          <w:rFonts w:ascii="Tahoma" w:eastAsia="Times New Roman" w:hAnsi="Tahoma" w:cs="Tahoma"/>
          <w:sz w:val="20"/>
        </w:rPr>
        <w:t>Отчете</w:t>
      </w:r>
      <w:r w:rsidRPr="00B90071">
        <w:rPr>
          <w:rFonts w:ascii="Tahoma" w:eastAsia="Times New Roman" w:hAnsi="Tahoma" w:cs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Повестка дня общего собрания: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1) О выплате (объявлении) дивидендов Акционерного общества «Угольная Компания «Северный Кузбасс» по результатам первого квартала 2022 года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 xml:space="preserve"> </w:t>
      </w:r>
    </w:p>
    <w:p w:rsidR="00B90071" w:rsidRPr="00B90071" w:rsidRDefault="00B90071" w:rsidP="00B90071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Кворум и итоги голосования по вопросу № 1 повестки дня:</w:t>
      </w:r>
    </w:p>
    <w:p w:rsidR="00B90071" w:rsidRPr="00B90071" w:rsidRDefault="00B90071" w:rsidP="00B90071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О выплате (объявлении) дивидендов Акционерного общества «Угольная Компания «Северный Кузбасс» по результатам первого квартала 2022 года</w:t>
      </w:r>
    </w:p>
    <w:p w:rsidR="00B90071" w:rsidRPr="00B90071" w:rsidRDefault="00B90071" w:rsidP="00B90071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90071" w:rsidRPr="00B90071" w:rsidTr="0071234C">
        <w:trPr>
          <w:cantSplit/>
        </w:trPr>
        <w:tc>
          <w:tcPr>
            <w:tcW w:w="8436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263 405</w:t>
            </w:r>
          </w:p>
        </w:tc>
      </w:tr>
      <w:tr w:rsidR="00B90071" w:rsidRPr="00B90071" w:rsidTr="0071234C">
        <w:trPr>
          <w:cantSplit/>
        </w:trPr>
        <w:tc>
          <w:tcPr>
            <w:tcW w:w="8436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263 405 </w:t>
            </w:r>
          </w:p>
        </w:tc>
      </w:tr>
      <w:tr w:rsidR="00B90071" w:rsidRPr="00B90071" w:rsidTr="0071234C">
        <w:trPr>
          <w:cantSplit/>
        </w:trPr>
        <w:tc>
          <w:tcPr>
            <w:tcW w:w="8436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260 229  </w:t>
            </w:r>
          </w:p>
        </w:tc>
      </w:tr>
      <w:tr w:rsidR="00B90071" w:rsidRPr="00B90071" w:rsidTr="0071234C">
        <w:trPr>
          <w:cantSplit/>
        </w:trPr>
        <w:tc>
          <w:tcPr>
            <w:tcW w:w="8436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B90071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98.794252%</w:t>
            </w:r>
          </w:p>
        </w:tc>
      </w:tr>
    </w:tbl>
    <w:p w:rsidR="00B90071" w:rsidRPr="00B90071" w:rsidRDefault="00B90071" w:rsidP="00B90071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% от </w:t>
            </w:r>
            <w:proofErr w:type="gramStart"/>
            <w:r w:rsidRPr="00B90071">
              <w:rPr>
                <w:rFonts w:ascii="Tahoma" w:eastAsia="Times New Roman" w:hAnsi="Tahoma" w:cs="Tahoma"/>
                <w:sz w:val="20"/>
              </w:rPr>
              <w:t>принявших</w:t>
            </w:r>
            <w:proofErr w:type="gramEnd"/>
            <w:r w:rsidRPr="00B90071">
              <w:rPr>
                <w:rFonts w:ascii="Tahoma" w:eastAsia="Times New Roman" w:hAnsi="Tahoma" w:cs="Tahoma"/>
                <w:sz w:val="20"/>
              </w:rPr>
              <w:t xml:space="preserve"> участие в собрании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260 223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99.997694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6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0.002306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B90071" w:rsidRPr="00B90071" w:rsidTr="0071234C">
        <w:trPr>
          <w:cantSplit/>
        </w:trPr>
        <w:tc>
          <w:tcPr>
            <w:tcW w:w="10306" w:type="dxa"/>
            <w:gridSpan w:val="3"/>
          </w:tcPr>
          <w:p w:rsidR="00B90071" w:rsidRPr="00B90071" w:rsidRDefault="00B90071" w:rsidP="00B90071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B90071">
              <w:rPr>
                <w:rFonts w:ascii="Tahoma" w:eastAsia="Times New Roman" w:hAnsi="Tahoma" w:cs="Tahoma"/>
                <w:sz w:val="20"/>
              </w:rPr>
              <w:t>недействительными</w:t>
            </w:r>
            <w:proofErr w:type="gramEnd"/>
            <w:r w:rsidRPr="00B90071">
              <w:rPr>
                <w:rFonts w:ascii="Tahoma" w:eastAsia="Times New Roman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B90071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B90071" w:rsidRPr="00B90071" w:rsidTr="0071234C">
        <w:trPr>
          <w:cantSplit/>
        </w:trPr>
        <w:tc>
          <w:tcPr>
            <w:tcW w:w="2358" w:type="dxa"/>
          </w:tcPr>
          <w:p w:rsidR="00B90071" w:rsidRPr="00B90071" w:rsidRDefault="00B90071" w:rsidP="00B90071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260 229</w:t>
            </w:r>
          </w:p>
        </w:tc>
        <w:tc>
          <w:tcPr>
            <w:tcW w:w="3288" w:type="dxa"/>
          </w:tcPr>
          <w:p w:rsidR="00B90071" w:rsidRPr="00B90071" w:rsidRDefault="00B90071" w:rsidP="00B90071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B90071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РЕШЕНИЕ: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lastRenderedPageBreak/>
        <w:t xml:space="preserve">Выплатить (объявить) дивиденды по обыкновенным акциям Акционерного общества «Угольная компания «Северный Кузбасс» по результатам первого квартала 2022 года в размере 2 502 347 500,00 руб. (два миллиарда пятьсот два миллиона триста сорок семь тысяч пятьсот  рублей 00 копеек): 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 xml:space="preserve">•Форма выплаты дивидендов: денежными средствами. 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•Размер дивиденда: 9 500,00 руб. (девять тысяч пятьсот рублей 00 копеек) на одну обыкновенную акцию Акционерного общества «Угольная компания «Северный Кузбасс».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•Дата, на которую определяются лица, имеющие право на получение дивидендов: 12.07.2022 г.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•Срок выплаты дивидендов в течение 25 рабочих дней с даты, на которую определяются лица, имеющие право на получение дивидендов.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•Порядок выплаты дивидендов: Выплата дивидендов осуществляется в безналичном порядке самим Обществом по реквизитам, имеющимся в Обществе.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B90071">
        <w:rPr>
          <w:rFonts w:ascii="Tahoma" w:eastAsia="Times New Roman" w:hAnsi="Tahoma" w:cs="Tahoma"/>
          <w:sz w:val="20"/>
        </w:rPr>
        <w:t>•Дивиденды выплачиваются лицам, которые являлись владельцами обыкновенных акций АО «Угольная компания «Северный Кузбасс» на конец операционного дня 12.07.2022 г.</w:t>
      </w: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B90071" w:rsidRPr="00B90071" w:rsidRDefault="00B90071" w:rsidP="00B90071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>РЕШЕНИЕ ПРИНЯТО</w:t>
      </w:r>
    </w:p>
    <w:p w:rsidR="00AC5B30" w:rsidRDefault="00AC5B30" w:rsidP="00AC5B3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AC5B30" w:rsidRDefault="00AC5B30" w:rsidP="00AC5B3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AC5B30" w:rsidRDefault="00AC5B30" w:rsidP="00AC5B3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AC5B30" w:rsidRDefault="00AC5B30" w:rsidP="00AC5B3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AC5B30" w:rsidRPr="004E298E" w:rsidRDefault="00AC5B30" w:rsidP="00AC5B3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AC5B30" w:rsidRPr="00F33B4C" w:rsidRDefault="00AC5B30" w:rsidP="00AC5B30">
      <w:pPr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F33B4C">
        <w:rPr>
          <w:b/>
          <w:color w:val="000000"/>
        </w:rPr>
        <w:t xml:space="preserve">Председатель собрания                                                                                   </w:t>
      </w:r>
      <w:proofErr w:type="spellStart"/>
      <w:r>
        <w:rPr>
          <w:b/>
          <w:color w:val="000000"/>
        </w:rPr>
        <w:t>Цымбалов</w:t>
      </w:r>
      <w:proofErr w:type="spellEnd"/>
      <w:r>
        <w:rPr>
          <w:b/>
          <w:color w:val="000000"/>
        </w:rPr>
        <w:t xml:space="preserve"> В.А.</w:t>
      </w:r>
    </w:p>
    <w:p w:rsidR="00AC5B30" w:rsidRDefault="00AC5B30" w:rsidP="00AC5B30">
      <w:pPr>
        <w:keepNext/>
        <w:spacing w:after="0" w:line="259" w:lineRule="auto"/>
        <w:ind w:left="567"/>
        <w:jc w:val="both"/>
        <w:rPr>
          <w:b/>
          <w:color w:val="000000"/>
        </w:rPr>
      </w:pPr>
      <w:r w:rsidRPr="00F33B4C">
        <w:rPr>
          <w:b/>
          <w:color w:val="000000"/>
        </w:rPr>
        <w:t xml:space="preserve">Секретарь собрания                                       </w:t>
      </w:r>
      <w:r>
        <w:rPr>
          <w:b/>
          <w:color w:val="000000"/>
        </w:rPr>
        <w:t xml:space="preserve">                                                    Иванов В.И.</w:t>
      </w:r>
      <w:r w:rsidRPr="00F33B4C">
        <w:rPr>
          <w:b/>
          <w:color w:val="000000"/>
        </w:rPr>
        <w:t xml:space="preserve">        </w:t>
      </w:r>
    </w:p>
    <w:p w:rsidR="00AC5B30" w:rsidRDefault="00AC5B30" w:rsidP="00AC5B30">
      <w:pPr>
        <w:keepNext/>
        <w:spacing w:after="0" w:line="259" w:lineRule="auto"/>
        <w:ind w:left="567"/>
        <w:jc w:val="both"/>
        <w:rPr>
          <w:b/>
          <w:color w:val="000000"/>
        </w:rPr>
      </w:pPr>
    </w:p>
    <w:p w:rsidR="00AC5B30" w:rsidRDefault="00AC5B30" w:rsidP="00AC5B30">
      <w:pPr>
        <w:keepNext/>
        <w:spacing w:after="0" w:line="259" w:lineRule="auto"/>
        <w:ind w:left="567"/>
        <w:jc w:val="both"/>
        <w:rPr>
          <w:b/>
          <w:color w:val="000000"/>
        </w:rPr>
      </w:pPr>
    </w:p>
    <w:p w:rsidR="00AC5B30" w:rsidRDefault="00AC5B30" w:rsidP="00AC5B30">
      <w:pPr>
        <w:keepNext/>
        <w:spacing w:after="0" w:line="259" w:lineRule="auto"/>
        <w:ind w:left="567"/>
        <w:jc w:val="both"/>
        <w:rPr>
          <w:b/>
          <w:color w:val="000000"/>
        </w:rPr>
      </w:pPr>
    </w:p>
    <w:p w:rsidR="00AC5B30" w:rsidRDefault="00AC5B30" w:rsidP="00AC5B30">
      <w:pPr>
        <w:keepNext/>
        <w:spacing w:after="0" w:line="259" w:lineRule="auto"/>
        <w:ind w:left="567"/>
        <w:jc w:val="both"/>
        <w:rPr>
          <w:b/>
          <w:color w:val="000000"/>
        </w:rPr>
      </w:pPr>
    </w:p>
    <w:p w:rsidR="00AC5B30" w:rsidRPr="006954A5" w:rsidRDefault="00AC5B30" w:rsidP="00AC5B30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>
        <w:rPr>
          <w:b/>
          <w:color w:val="000000"/>
        </w:rPr>
        <w:t>«01» июля 2022 г.</w:t>
      </w:r>
      <w:r w:rsidRPr="00F33B4C">
        <w:rPr>
          <w:b/>
          <w:color w:val="000000"/>
        </w:rPr>
        <w:t xml:space="preserve">                                                </w:t>
      </w:r>
    </w:p>
    <w:p w:rsidR="00B90071" w:rsidRPr="00B90071" w:rsidRDefault="00B90071" w:rsidP="00B90071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B90071">
        <w:rPr>
          <w:rFonts w:ascii="Tahoma" w:eastAsia="Times New Roman" w:hAnsi="Tahoma" w:cs="Tahoma"/>
          <w:b/>
          <w:sz w:val="20"/>
        </w:rPr>
        <w:t xml:space="preserve"> </w:t>
      </w:r>
    </w:p>
    <w:p w:rsidR="00B90071" w:rsidRPr="00B90071" w:rsidRDefault="00B90071" w:rsidP="00B90071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sectPr w:rsidR="00B90071" w:rsidRPr="00B90071" w:rsidSect="00893D66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57" w:rsidRDefault="00984257">
      <w:pPr>
        <w:spacing w:after="0" w:line="240" w:lineRule="auto"/>
      </w:pPr>
      <w:r>
        <w:separator/>
      </w:r>
    </w:p>
  </w:endnote>
  <w:endnote w:type="continuationSeparator" w:id="0">
    <w:p w:rsidR="00984257" w:rsidRDefault="0098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57" w:rsidRDefault="00984257">
      <w:pPr>
        <w:spacing w:after="0" w:line="240" w:lineRule="auto"/>
      </w:pPr>
      <w:r>
        <w:separator/>
      </w:r>
    </w:p>
  </w:footnote>
  <w:footnote w:type="continuationSeparator" w:id="0">
    <w:p w:rsidR="00984257" w:rsidRDefault="0098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1"/>
    <w:rsid w:val="00093F03"/>
    <w:rsid w:val="000A0A06"/>
    <w:rsid w:val="005B684A"/>
    <w:rsid w:val="00984257"/>
    <w:rsid w:val="009B4AA3"/>
    <w:rsid w:val="009E28B7"/>
    <w:rsid w:val="00A46388"/>
    <w:rsid w:val="00AC5B30"/>
    <w:rsid w:val="00B90071"/>
    <w:rsid w:val="00D11C5E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07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90071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E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07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90071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E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sobolevskaya</dc:creator>
  <cp:lastModifiedBy>Юлия Владимировна Никонова</cp:lastModifiedBy>
  <cp:revision>2</cp:revision>
  <cp:lastPrinted>2022-07-01T07:00:00Z</cp:lastPrinted>
  <dcterms:created xsi:type="dcterms:W3CDTF">2022-07-04T01:33:00Z</dcterms:created>
  <dcterms:modified xsi:type="dcterms:W3CDTF">2022-07-04T01:33:00Z</dcterms:modified>
</cp:coreProperties>
</file>